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db1dcb541437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ORIOVAC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2.114.030,88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2.317.780,17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1.571.191,39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1.749.774,10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542.839,49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568.006,07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111.251,15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415.983,12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109.714,62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412.119,04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147.584,17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147.584,17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533.124,87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8.302,86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Oriovac je u razdoblju 1,1,-30,9,2025,godine ostvarila prihode poslovanja u iznosi 2.317.780,17 eur, a rashode poslovanja u iznosu od 1.797.774,10 eur, što e rezultiralo viškom poslovanja u iznosu od 568.006,07 eur. Najveće povećanje se odnosi na kapitalne donacije za provedbu projekata koje provodi Općina Oriovac.
Prihodi od  nefinancijske imovine ostvareni su u iznosu od 3.864,08 eur, a rashodi za nabavu nefinancijske imovine u iznosu od 415.983,12 eur, što je rezultiralo ostvarenjem manjka od nefinancijske u iznosu od 412.119,04 eur. Rashodi se odnose na pretežno na ulaganja u komunalnu infrastrukturu i projekte financirane iz vlastitih  i drugih izvora.
U navedenom razdoblju nije bilo novih zaduživanja niti prihoda od finacijske imovine, dok su izdaci za imovinu i otplatu zajmova iznosili  147.584,17 eur.
Konačni višak prihoda i primitaka iznosi 8.302,86 eur, što pokazuje da su rashodi i izdaci bili usklađeni sa prihodima i primicima, time je osigurana stabilnost proračuna i poslovanje Općine Oriovca.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624.207,75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791.354,49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Iskazani iznos je veći u odnosu na isto izvještajno razdoblje prethodne godine. Razlika u prihodu je odraz priljeva poreznih prihoda i izvršenog povrata poreza u izvještajnom razdoblju.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32.348,64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36.003,90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je značajno veći u odnosu na isto izvještajno razdoblje prethodne godine, a odraz je većeg prometovanja nekretninama na području Općine Oriovac i naplati poreza kojeg utvrđuje i provodi Porezna uprava.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958.501,80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600.630,49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je manji u odnosu na isto izvještajno razdoblje prethodne godine, a razlog je evidentiranje pomoći fiskalnog izravnanja na konto 6353.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 se odnosi na provođenje  Projekta ugradnja umjetne trave na terenu nogometnog kluba Nk Oriolik.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565.101,36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Evidentiran je prihod od pomoći iz državnog proračuna za pomoć fiskalnog izravnanja. U istom razdoblju prethodne godine nema ostvarenja iz razloga što se konto 6353 koristi od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118.075,46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prihode od pomoći temeljem prijenosa EU sredstava i manji su u odnosu na isto razdoblje prethodne godine iz razloga što nisu uplaćeni odobreni ZNS-ovi za projekte koje provodi Općina Oriovac.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59.924,51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31.487,97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je manji u odnosu na isto razdoblje prethodne godine iz razloga što su izostali prihodi od zakupa poljoprivrednog zemljišta naplaćuju u drugoj polovni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69.011,22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34.505,61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iznos je manji jer je Hrvatski telekom platio u 2024. godini naknadu za pravo služnosti za 2023 i 2024 godinu.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5.977,74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je manjii u odnosu na isto izvještajno razdoblje prethodne godine, a odnosi se na prihod od Hrvatskih voda za naplatu Naknade za uređenje voda,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217.027,16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391.384,08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Iskazani iznos se odnosi na rashode za plaće (bruto) zaposlenih u općinskoj upravi i na projektu Dobro je činiti dobro faza IV i veći su u odnosu na isto razdoblje prethodne godine zbog većih troškova zaposlenih.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8.184,54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koji se isplaćuju zaposlenima, a odnose se na prigodne godišnje nagrade i ostala utvrđena prava službenika iz Pravilnika.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60.747,59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111.494,92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plaće (bruto) zaposlenih u općinskoj upravi i na projektu Dobro je činiti dobro faza  IV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10.322,79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11.891,08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službena putovanja, stručno usavršavanje zaposlenika, naknade za prijevoz na posao i s posla. Iznos je veći u odnosu na isto razdoblje prethodne godine zbog većih troškova zaposlenih, a povećanje se odnosi na troškove prijevoza i ostale naknade troškova zaposlenima.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službena putovanja, stručno usavršavanje zaposlenika, naknade za prijevoz na posao i s posla. Iznos je veći u odnosu na isto razdoblje prethodne godine zbog većih troškova zaposlenih, a povećanje se odnosi na troškove prijevoza i ostale naknade troškova zaposlenima a najviše na loko vožnju djelatnicima vožnju djelatnicima na projektu Dobro je činiti dobro.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59.071,18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90.140,72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materijal i energiju i veći je u odnosu na isto razdoblje prethodne godine iz razloga što su veća izdvajanja za materijal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177.301,41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295.674,62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materijal i energiju i veći je u odnosu na isto razdoblje prethodne godine iz razloga što su veća izdvajanja za materijal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29.410,05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63.386,81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ostale nespomenute rashode poslovanja koji su veći, a razlika povećanih rashoda je u rashodima za rad biračkih odbora i Općinskog izbornog povjerenstva za provedbu lokalnih izbora održanih 18.5.2025. i 1.6.2025.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24.105,94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prijenos sredstava po Sporazumu o fiskalnoj održivosti dječjih vrtića između Općine Oriovac i Općine BrodskiSstupnik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31.684,36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60.238,39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je veći u odnosu na isto izvještajno razdoblje prethodne godine radi većih zahtjeva za ostvarivanje naknada  te sufinanciranje pohađanja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33.792,39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je veći u odnosu na isto izvještajno razdoblje prethodne godine, a rashodi se odnose na kapitalnu donaciju za obnovu zgrade DVD-a Slavonski Kobaš.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27.747,13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u izvještajnom razdoblju je veći u odnosu na isto razdoblje prethodne godine radi ulaganja u izgradnju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215.364,88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je veći u odnosu na isto izvještajno razdoblje prethodne godine, a rashodi se odnose na provođenje projekta izgradnje umjetne trave na terenu NK Oriolik Oriovac.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33.879,04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100.775,79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Iznos je značajno veći u odnosu na isto izvještajno razdoblje prethodne godine, a odnosi se na veća dodatna ulaganja u objekte u vlasništvu Općine Oriovac. Razlog povećanog rashoda je provedba EU projekta.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793.122,12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Oriovac na dan 30.09.2025.godine ima dospjelih obveza u iznosu 793.122,12 eur, koje se odnose pretežno na neplaćene obveze prema dobavljačima za isporučene robe i usluge te izvođačima radova .  Sve obveze bit će podmirene u skladu sa punjenjem proračuna.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4a39eb5e414690" /></Relationships>
</file>